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60" w:rsidRDefault="002F5460" w:rsidP="00192CBD">
      <w:pPr>
        <w:jc w:val="center"/>
        <w:rPr>
          <w:rFonts w:asciiTheme="majorEastAsia" w:eastAsiaTheme="majorEastAsia" w:hAnsiTheme="majorEastAsia"/>
        </w:rPr>
      </w:pPr>
    </w:p>
    <w:p w:rsidR="006263CA" w:rsidRPr="00192CBD" w:rsidRDefault="006263CA" w:rsidP="00192CBD">
      <w:pPr>
        <w:jc w:val="center"/>
        <w:rPr>
          <w:rFonts w:asciiTheme="majorEastAsia" w:eastAsiaTheme="majorEastAsia" w:hAnsiTheme="majorEastAsia"/>
        </w:rPr>
      </w:pPr>
      <w:r w:rsidRPr="00192CBD">
        <w:rPr>
          <w:rFonts w:asciiTheme="majorEastAsia" w:eastAsiaTheme="majorEastAsia" w:hAnsiTheme="majorEastAsia"/>
        </w:rPr>
        <w:t>居宅介護支援費の特定事業所集中減算に係る「正当な理由の範囲」についての指針</w:t>
      </w:r>
    </w:p>
    <w:p w:rsidR="00192CBD" w:rsidRDefault="00192CBD" w:rsidP="00192CBD">
      <w:pPr>
        <w:pStyle w:val="a3"/>
        <w:ind w:leftChars="0" w:left="360"/>
        <w:rPr>
          <w:rFonts w:asciiTheme="majorEastAsia" w:eastAsiaTheme="majorEastAsia" w:hAnsiTheme="majorEastAsia"/>
        </w:rPr>
      </w:pPr>
    </w:p>
    <w:p w:rsidR="002F5460" w:rsidRDefault="002F5460" w:rsidP="00192CBD">
      <w:pPr>
        <w:pStyle w:val="a3"/>
        <w:ind w:leftChars="0" w:left="360"/>
        <w:rPr>
          <w:rFonts w:asciiTheme="majorEastAsia" w:eastAsiaTheme="majorEastAsia" w:hAnsiTheme="majorEastAsia"/>
        </w:rPr>
      </w:pPr>
    </w:p>
    <w:p w:rsidR="003A52AB" w:rsidRDefault="00BD0F92" w:rsidP="00192CBD">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hint="eastAsia"/>
        </w:rPr>
        <w:t>居宅介護支援事業者の通常の事業の実施地域に、訪問介護サービス等が各サービスごとでみた場合に5事業所未満である場合など、サービス事業所が少数である場合。</w:t>
      </w:r>
    </w:p>
    <w:p w:rsidR="00192CBD" w:rsidRPr="00192CBD" w:rsidRDefault="00192CBD" w:rsidP="00192CBD">
      <w:pPr>
        <w:pStyle w:val="a3"/>
        <w:ind w:leftChars="0" w:left="360"/>
        <w:rPr>
          <w:rFonts w:asciiTheme="majorEastAsia" w:eastAsiaTheme="majorEastAsia" w:hAnsiTheme="majorEastAsia"/>
        </w:rPr>
      </w:pPr>
    </w:p>
    <w:p w:rsidR="00BD0F92" w:rsidRPr="00192CBD" w:rsidRDefault="00BD0F92" w:rsidP="00F64D06">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hint="eastAsia"/>
        </w:rPr>
        <w:t>特別地域居宅介護支援加算を受けている事業者である場合。</w:t>
      </w:r>
    </w:p>
    <w:p w:rsidR="00192CBD" w:rsidRDefault="00192CBD" w:rsidP="00192CBD">
      <w:pPr>
        <w:pStyle w:val="a3"/>
        <w:ind w:leftChars="0" w:left="360"/>
        <w:rPr>
          <w:rFonts w:asciiTheme="majorEastAsia" w:eastAsiaTheme="majorEastAsia" w:hAnsiTheme="majorEastAsia"/>
        </w:rPr>
      </w:pPr>
    </w:p>
    <w:p w:rsidR="00BD0F92" w:rsidRDefault="00BD0F92" w:rsidP="00F64D06">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hint="eastAsia"/>
        </w:rPr>
        <w:t>判定期間の１月あたりの平均居宅サービス計画件数が２０件以下であるなど事業所が小規模である場合。</w:t>
      </w:r>
    </w:p>
    <w:p w:rsidR="00192CBD" w:rsidRPr="00192CBD" w:rsidRDefault="00192CBD" w:rsidP="00192CBD">
      <w:pPr>
        <w:rPr>
          <w:rFonts w:asciiTheme="majorEastAsia" w:eastAsiaTheme="majorEastAsia" w:hAnsiTheme="majorEastAsia"/>
        </w:rPr>
      </w:pPr>
    </w:p>
    <w:p w:rsidR="00F64D06" w:rsidRDefault="00F64D06" w:rsidP="00F64D06">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rPr>
        <w:t>判定期間の１月当たりの居宅サービス計画のうち、それぞれのサービスが位置づけられた計画件数が１月当たり平均１０件以下であるなど、サービスの利用が少数である場合。</w:t>
      </w:r>
    </w:p>
    <w:p w:rsidR="00192CBD" w:rsidRPr="00192CBD" w:rsidRDefault="00192CBD" w:rsidP="00192CBD">
      <w:pPr>
        <w:rPr>
          <w:rFonts w:asciiTheme="majorEastAsia" w:eastAsiaTheme="majorEastAsia" w:hAnsiTheme="majorEastAsia"/>
        </w:rPr>
      </w:pPr>
    </w:p>
    <w:p w:rsidR="00BD0F92" w:rsidRPr="00192CBD" w:rsidRDefault="00BD0F92" w:rsidP="00F64D06">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hint="eastAsia"/>
        </w:rPr>
        <w:t>サービスの質が高いことによる利用者の希望を勘案した場合などにより特定の事業者に集中していると認められる場合。</w:t>
      </w:r>
    </w:p>
    <w:p w:rsidR="00F64D06" w:rsidRDefault="00F64D06" w:rsidP="00192CBD">
      <w:pPr>
        <w:ind w:firstLineChars="100" w:firstLine="210"/>
        <w:rPr>
          <w:rFonts w:asciiTheme="majorEastAsia" w:eastAsiaTheme="majorEastAsia" w:hAnsiTheme="majorEastAsia"/>
        </w:rPr>
      </w:pPr>
      <w:r w:rsidRPr="00192CBD">
        <w:rPr>
          <w:rFonts w:asciiTheme="majorEastAsia" w:eastAsiaTheme="majorEastAsia" w:hAnsiTheme="majorEastAsia"/>
        </w:rPr>
        <w:t>ア　紹介率最高法人が市町である場合</w:t>
      </w:r>
    </w:p>
    <w:p w:rsidR="00192CBD" w:rsidRPr="00192CBD" w:rsidRDefault="00192CBD" w:rsidP="00192CBD">
      <w:pPr>
        <w:ind w:firstLineChars="100" w:firstLine="210"/>
        <w:rPr>
          <w:rFonts w:asciiTheme="majorEastAsia" w:eastAsiaTheme="majorEastAsia" w:hAnsiTheme="majorEastAsia"/>
        </w:rPr>
      </w:pPr>
    </w:p>
    <w:p w:rsidR="00F64D06" w:rsidRDefault="00F64D06" w:rsidP="00F64D06">
      <w:pPr>
        <w:pStyle w:val="a3"/>
        <w:numPr>
          <w:ilvl w:val="0"/>
          <w:numId w:val="1"/>
        </w:numPr>
        <w:ind w:leftChars="0"/>
        <w:rPr>
          <w:rFonts w:asciiTheme="majorEastAsia" w:eastAsiaTheme="majorEastAsia" w:hAnsiTheme="majorEastAsia"/>
        </w:rPr>
      </w:pPr>
      <w:r w:rsidRPr="00192CBD">
        <w:rPr>
          <w:rFonts w:asciiTheme="majorEastAsia" w:eastAsiaTheme="majorEastAsia" w:hAnsiTheme="majorEastAsia" w:hint="eastAsia"/>
        </w:rPr>
        <w:t>その他正当な理由と</w:t>
      </w:r>
      <w:r w:rsidR="00226602">
        <w:rPr>
          <w:rFonts w:asciiTheme="majorEastAsia" w:eastAsiaTheme="majorEastAsia" w:hAnsiTheme="majorEastAsia" w:hint="eastAsia"/>
        </w:rPr>
        <w:t>市長</w:t>
      </w:r>
      <w:bookmarkStart w:id="0" w:name="_GoBack"/>
      <w:bookmarkEnd w:id="0"/>
      <w:r w:rsidRPr="00192CBD">
        <w:rPr>
          <w:rFonts w:asciiTheme="majorEastAsia" w:eastAsiaTheme="majorEastAsia" w:hAnsiTheme="majorEastAsia" w:hint="eastAsia"/>
        </w:rPr>
        <w:t>が認めた場合</w:t>
      </w:r>
    </w:p>
    <w:p w:rsidR="00192CBD" w:rsidRPr="00192CBD" w:rsidRDefault="00192CBD" w:rsidP="00192CBD">
      <w:pPr>
        <w:pStyle w:val="a3"/>
        <w:ind w:leftChars="0" w:left="360"/>
        <w:rPr>
          <w:rFonts w:asciiTheme="majorEastAsia" w:eastAsiaTheme="majorEastAsia" w:hAnsiTheme="majorEastAsia"/>
        </w:rPr>
      </w:pPr>
    </w:p>
    <w:p w:rsidR="00192CBD" w:rsidRDefault="00F64D06" w:rsidP="00192CBD">
      <w:pPr>
        <w:ind w:leftChars="100" w:left="420" w:hangingChars="100" w:hanging="210"/>
        <w:rPr>
          <w:rFonts w:asciiTheme="majorEastAsia" w:eastAsiaTheme="majorEastAsia" w:hAnsiTheme="majorEastAsia"/>
        </w:rPr>
      </w:pPr>
      <w:r w:rsidRPr="00192CBD">
        <w:rPr>
          <w:rFonts w:asciiTheme="majorEastAsia" w:eastAsiaTheme="majorEastAsia" w:hAnsiTheme="majorEastAsia"/>
        </w:rPr>
        <w:t>ア　判定期間中にやむなく廃止、休止となった居宅介護支援事業所から引き継いで、当該事業所において</w:t>
      </w:r>
      <w:r w:rsidR="002C3367" w:rsidRPr="00192CBD">
        <w:rPr>
          <w:rFonts w:asciiTheme="majorEastAsia" w:eastAsiaTheme="majorEastAsia" w:hAnsiTheme="majorEastAsia"/>
        </w:rPr>
        <w:t>居宅介護支援をすることとなった場合（経緯が明らかとなる書面の提示が必要）</w:t>
      </w:r>
    </w:p>
    <w:p w:rsidR="00F64D06" w:rsidRPr="00192CBD" w:rsidRDefault="002C3367" w:rsidP="00192CBD">
      <w:pPr>
        <w:ind w:leftChars="200" w:left="420"/>
        <w:rPr>
          <w:rFonts w:asciiTheme="majorEastAsia" w:eastAsiaTheme="majorEastAsia" w:hAnsiTheme="majorEastAsia"/>
        </w:rPr>
      </w:pPr>
      <w:r w:rsidRPr="00192CBD">
        <w:rPr>
          <w:rFonts w:asciiTheme="majorEastAsia" w:eastAsiaTheme="majorEastAsia" w:hAnsiTheme="majorEastAsia"/>
        </w:rPr>
        <w:t>→該当するケースを除いて計算した結果、８０％以下である場合は減算を適用しない。</w:t>
      </w:r>
    </w:p>
    <w:p w:rsidR="00192CBD" w:rsidRDefault="00192CBD" w:rsidP="00192CBD">
      <w:pPr>
        <w:ind w:firstLineChars="100" w:firstLine="210"/>
        <w:rPr>
          <w:rFonts w:asciiTheme="majorEastAsia" w:eastAsiaTheme="majorEastAsia" w:hAnsiTheme="majorEastAsia"/>
        </w:rPr>
      </w:pPr>
    </w:p>
    <w:p w:rsidR="00192CBD" w:rsidRDefault="002C3367" w:rsidP="00192CBD">
      <w:pPr>
        <w:ind w:leftChars="100" w:left="420" w:hangingChars="100" w:hanging="210"/>
        <w:rPr>
          <w:rFonts w:asciiTheme="majorEastAsia" w:eastAsiaTheme="majorEastAsia" w:hAnsiTheme="majorEastAsia"/>
        </w:rPr>
      </w:pPr>
      <w:r w:rsidRPr="00192CBD">
        <w:rPr>
          <w:rFonts w:asciiTheme="majorEastAsia" w:eastAsiaTheme="majorEastAsia" w:hAnsiTheme="majorEastAsia"/>
        </w:rPr>
        <w:t>イ　サービスの提供にあたって指示を受けた主治の医師等との密接な連携を確保するため、特定の事業者に集中していると認められる場合（支援経過記録等、挙証資料の提示が必要）</w:t>
      </w:r>
    </w:p>
    <w:p w:rsidR="002C3367" w:rsidRPr="00192CBD" w:rsidRDefault="002C3367" w:rsidP="00192CBD">
      <w:pPr>
        <w:ind w:leftChars="200" w:left="420"/>
        <w:rPr>
          <w:rFonts w:asciiTheme="majorEastAsia" w:eastAsiaTheme="majorEastAsia" w:hAnsiTheme="majorEastAsia"/>
        </w:rPr>
      </w:pPr>
      <w:r w:rsidRPr="00192CBD">
        <w:rPr>
          <w:rFonts w:asciiTheme="majorEastAsia" w:eastAsiaTheme="majorEastAsia" w:hAnsiTheme="majorEastAsia"/>
        </w:rPr>
        <w:t>→該当するケースを除いて再計算した結果、８０％以下である場合は減算を適用しない。</w:t>
      </w:r>
    </w:p>
    <w:p w:rsidR="00192CBD" w:rsidRDefault="00192CBD" w:rsidP="00F64D06">
      <w:pPr>
        <w:rPr>
          <w:rFonts w:asciiTheme="majorEastAsia" w:eastAsiaTheme="majorEastAsia" w:hAnsiTheme="majorEastAsia"/>
        </w:rPr>
      </w:pPr>
    </w:p>
    <w:p w:rsidR="002C3367" w:rsidRPr="00192CBD" w:rsidRDefault="002C3367" w:rsidP="00192CBD">
      <w:pPr>
        <w:ind w:firstLineChars="100" w:firstLine="210"/>
        <w:rPr>
          <w:rFonts w:asciiTheme="majorEastAsia" w:eastAsiaTheme="majorEastAsia" w:hAnsiTheme="majorEastAsia"/>
        </w:rPr>
      </w:pPr>
      <w:r w:rsidRPr="00192CBD">
        <w:rPr>
          <w:rFonts w:asciiTheme="majorEastAsia" w:eastAsiaTheme="majorEastAsia" w:hAnsiTheme="majorEastAsia"/>
        </w:rPr>
        <w:t>ウ　適切なケアマネジメントを行った結果と確認できる場合</w:t>
      </w:r>
    </w:p>
    <w:p w:rsidR="002C3367" w:rsidRPr="00192CBD" w:rsidRDefault="002C3367" w:rsidP="00192CBD">
      <w:pPr>
        <w:ind w:leftChars="200" w:left="630" w:hangingChars="100" w:hanging="210"/>
        <w:rPr>
          <w:rFonts w:asciiTheme="majorEastAsia" w:eastAsiaTheme="majorEastAsia" w:hAnsiTheme="majorEastAsia"/>
        </w:rPr>
      </w:pPr>
      <w:r w:rsidRPr="00192CBD">
        <w:rPr>
          <w:rFonts w:asciiTheme="majorEastAsia" w:eastAsiaTheme="majorEastAsia" w:hAnsiTheme="majorEastAsia"/>
        </w:rPr>
        <w:t>・</w:t>
      </w:r>
      <w:r w:rsidR="00570DA4" w:rsidRPr="00192CBD">
        <w:rPr>
          <w:rFonts w:asciiTheme="majorEastAsia" w:eastAsiaTheme="majorEastAsia" w:hAnsiTheme="majorEastAsia"/>
        </w:rPr>
        <w:t>適切なアセスメントにより利用者のニーズを把握し、ニーズに対応可能な複数の事業所を提示し、利用者の主体的かつ具体的な希望による選択ということが確認できる挙証資料の提出が必要。（事業所のパンフレット、情報の公表システム、事業所リスト等どのように説明、紹介したか。支援経過記録等に残している等。）</w:t>
      </w:r>
    </w:p>
    <w:p w:rsidR="00570DA4" w:rsidRPr="00192CBD" w:rsidRDefault="00570DA4" w:rsidP="00192CBD">
      <w:pPr>
        <w:ind w:firstLineChars="200" w:firstLine="420"/>
        <w:rPr>
          <w:rFonts w:asciiTheme="majorEastAsia" w:eastAsiaTheme="majorEastAsia" w:hAnsiTheme="majorEastAsia"/>
        </w:rPr>
      </w:pPr>
      <w:r w:rsidRPr="00192CBD">
        <w:rPr>
          <w:rFonts w:asciiTheme="majorEastAsia" w:eastAsiaTheme="majorEastAsia" w:hAnsiTheme="majorEastAsia"/>
        </w:rPr>
        <w:t>→該当するケースを除いて計算した結果、８０％以下である場合は減算を適用しない。</w:t>
      </w:r>
    </w:p>
    <w:sectPr w:rsidR="00570DA4" w:rsidRPr="00192CBD" w:rsidSect="00192CBD">
      <w:pgSz w:w="11906" w:h="16838" w:code="9"/>
      <w:pgMar w:top="1418" w:right="1304" w:bottom="1304" w:left="130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02" w:rsidRDefault="00226602" w:rsidP="00226602">
      <w:r>
        <w:separator/>
      </w:r>
    </w:p>
  </w:endnote>
  <w:endnote w:type="continuationSeparator" w:id="0">
    <w:p w:rsidR="00226602" w:rsidRDefault="00226602" w:rsidP="0022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02" w:rsidRDefault="00226602" w:rsidP="00226602">
      <w:r>
        <w:separator/>
      </w:r>
    </w:p>
  </w:footnote>
  <w:footnote w:type="continuationSeparator" w:id="0">
    <w:p w:rsidR="00226602" w:rsidRDefault="00226602" w:rsidP="0022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C39D4"/>
    <w:multiLevelType w:val="hybridMultilevel"/>
    <w:tmpl w:val="2E18B02E"/>
    <w:lvl w:ilvl="0" w:tplc="40A8B682">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92"/>
    <w:rsid w:val="00192CBD"/>
    <w:rsid w:val="00226602"/>
    <w:rsid w:val="002C3367"/>
    <w:rsid w:val="002F5460"/>
    <w:rsid w:val="003A52AB"/>
    <w:rsid w:val="00570DA4"/>
    <w:rsid w:val="006263CA"/>
    <w:rsid w:val="009059D8"/>
    <w:rsid w:val="00BD0F92"/>
    <w:rsid w:val="00F6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CBD"/>
    <w:pPr>
      <w:ind w:leftChars="400" w:left="840"/>
    </w:pPr>
    <w:rPr>
      <w:sz w:val="22"/>
    </w:rPr>
  </w:style>
  <w:style w:type="paragraph" w:styleId="a4">
    <w:name w:val="header"/>
    <w:basedOn w:val="a"/>
    <w:link w:val="a5"/>
    <w:uiPriority w:val="99"/>
    <w:unhideWhenUsed/>
    <w:rsid w:val="00226602"/>
    <w:pPr>
      <w:tabs>
        <w:tab w:val="center" w:pos="4252"/>
        <w:tab w:val="right" w:pos="8504"/>
      </w:tabs>
      <w:snapToGrid w:val="0"/>
    </w:pPr>
  </w:style>
  <w:style w:type="character" w:customStyle="1" w:styleId="a5">
    <w:name w:val="ヘッダー (文字)"/>
    <w:basedOn w:val="a0"/>
    <w:link w:val="a4"/>
    <w:uiPriority w:val="99"/>
    <w:rsid w:val="00226602"/>
  </w:style>
  <w:style w:type="paragraph" w:styleId="a6">
    <w:name w:val="footer"/>
    <w:basedOn w:val="a"/>
    <w:link w:val="a7"/>
    <w:uiPriority w:val="99"/>
    <w:unhideWhenUsed/>
    <w:rsid w:val="00226602"/>
    <w:pPr>
      <w:tabs>
        <w:tab w:val="center" w:pos="4252"/>
        <w:tab w:val="right" w:pos="8504"/>
      </w:tabs>
      <w:snapToGrid w:val="0"/>
    </w:pPr>
  </w:style>
  <w:style w:type="character" w:customStyle="1" w:styleId="a7">
    <w:name w:val="フッター (文字)"/>
    <w:basedOn w:val="a0"/>
    <w:link w:val="a6"/>
    <w:uiPriority w:val="99"/>
    <w:rsid w:val="00226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CBD"/>
    <w:pPr>
      <w:ind w:leftChars="400" w:left="840"/>
    </w:pPr>
    <w:rPr>
      <w:sz w:val="22"/>
    </w:rPr>
  </w:style>
  <w:style w:type="paragraph" w:styleId="a4">
    <w:name w:val="header"/>
    <w:basedOn w:val="a"/>
    <w:link w:val="a5"/>
    <w:uiPriority w:val="99"/>
    <w:unhideWhenUsed/>
    <w:rsid w:val="00226602"/>
    <w:pPr>
      <w:tabs>
        <w:tab w:val="center" w:pos="4252"/>
        <w:tab w:val="right" w:pos="8504"/>
      </w:tabs>
      <w:snapToGrid w:val="0"/>
    </w:pPr>
  </w:style>
  <w:style w:type="character" w:customStyle="1" w:styleId="a5">
    <w:name w:val="ヘッダー (文字)"/>
    <w:basedOn w:val="a0"/>
    <w:link w:val="a4"/>
    <w:uiPriority w:val="99"/>
    <w:rsid w:val="00226602"/>
  </w:style>
  <w:style w:type="paragraph" w:styleId="a6">
    <w:name w:val="footer"/>
    <w:basedOn w:val="a"/>
    <w:link w:val="a7"/>
    <w:uiPriority w:val="99"/>
    <w:unhideWhenUsed/>
    <w:rsid w:val="00226602"/>
    <w:pPr>
      <w:tabs>
        <w:tab w:val="center" w:pos="4252"/>
        <w:tab w:val="right" w:pos="8504"/>
      </w:tabs>
      <w:snapToGrid w:val="0"/>
    </w:pPr>
  </w:style>
  <w:style w:type="character" w:customStyle="1" w:styleId="a7">
    <w:name w:val="フッター (文字)"/>
    <w:basedOn w:val="a0"/>
    <w:link w:val="a6"/>
    <w:uiPriority w:val="99"/>
    <w:rsid w:val="0022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3A47B0AC.dotm</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2</cp:revision>
  <dcterms:created xsi:type="dcterms:W3CDTF">2018-08-30T00:05:00Z</dcterms:created>
  <dcterms:modified xsi:type="dcterms:W3CDTF">2018-08-30T00:06:00Z</dcterms:modified>
</cp:coreProperties>
</file>